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CB458C">
        <w:rPr>
          <w:rFonts w:eastAsia="Times New Roman"/>
          <w:bCs/>
          <w:lang w:eastAsia="ar-SA"/>
        </w:rPr>
        <w:t>2</w:t>
      </w:r>
      <w:r w:rsidR="00227D14">
        <w:rPr>
          <w:rFonts w:eastAsia="Times New Roman"/>
          <w:bCs/>
          <w:lang w:eastAsia="ar-SA"/>
        </w:rPr>
        <w:t>7</w:t>
      </w:r>
      <w:r w:rsidR="00856B7F">
        <w:rPr>
          <w:rFonts w:eastAsia="Times New Roman"/>
          <w:bCs/>
          <w:lang w:eastAsia="ar-SA"/>
        </w:rPr>
        <w:t>.</w:t>
      </w:r>
      <w:r w:rsidR="00DC05FB">
        <w:rPr>
          <w:rFonts w:eastAsia="Times New Roman"/>
          <w:bCs/>
          <w:lang w:eastAsia="ar-SA"/>
        </w:rPr>
        <w:t>aprīl</w:t>
      </w:r>
      <w:r w:rsidR="004452FA">
        <w:rPr>
          <w:rFonts w:eastAsia="Times New Roman"/>
          <w:bCs/>
          <w:lang w:eastAsia="ar-SA"/>
        </w:rPr>
        <w:t>ī</w:t>
      </w:r>
    </w:p>
    <w:p w:rsidR="00874943" w:rsidRDefault="00687980" w:rsidP="00874943">
      <w:pPr>
        <w:suppressAutoHyphens/>
        <w:rPr>
          <w:rFonts w:eastAsia="Times New Roman"/>
          <w:bCs/>
          <w:lang w:eastAsia="ar-SA"/>
        </w:rPr>
      </w:pPr>
      <w:r>
        <w:rPr>
          <w:rFonts w:eastAsia="Times New Roman"/>
          <w:bCs/>
          <w:lang w:eastAsia="ar-SA"/>
        </w:rPr>
        <w:t>Nr. DBJSS201</w:t>
      </w:r>
      <w:r w:rsidR="00227D14">
        <w:rPr>
          <w:rFonts w:eastAsia="Times New Roman"/>
          <w:bCs/>
          <w:lang w:eastAsia="ar-SA"/>
        </w:rPr>
        <w:t>8/48</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D73F7" w:rsidRPr="00CF1BEC"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227D14">
        <w:rPr>
          <w:rFonts w:eastAsia="Times New Roman"/>
          <w:b/>
          <w:bCs/>
          <w:lang w:eastAsia="en-US"/>
        </w:rPr>
        <w:t>Volejbola sporta pasākuma “Jautrās stafetes”</w:t>
      </w:r>
      <w:r w:rsidR="00DC05FB">
        <w:rPr>
          <w:rFonts w:eastAsia="Times New Roman"/>
          <w:b/>
          <w:bCs/>
          <w:lang w:eastAsia="en-US"/>
        </w:rPr>
        <w:t xml:space="preserve"> </w:t>
      </w:r>
      <w:r>
        <w:rPr>
          <w:rFonts w:eastAsia="Times New Roman"/>
          <w:b/>
          <w:bCs/>
          <w:lang w:eastAsia="en-US"/>
        </w:rPr>
        <w:t>o</w:t>
      </w:r>
      <w:r w:rsidRPr="004452FA">
        <w:rPr>
          <w:rFonts w:eastAsia="Times New Roman"/>
          <w:b/>
          <w:bCs/>
          <w:lang w:eastAsia="en-US"/>
        </w:rPr>
        <w:t>rganizēšana un tiesāšana</w:t>
      </w:r>
      <w:r w:rsidR="00B45CCB">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Metodiķe Ella Ļaksa</w:t>
            </w:r>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e-pasts:</w:t>
            </w:r>
            <w:r w:rsidR="00EC26DF">
              <w:rPr>
                <w:rFonts w:eastAsia="Times New Roman"/>
                <w:color w:val="0070C0"/>
                <w:lang w:eastAsia="en-US"/>
              </w:rPr>
              <w:t>daugavpilsbjss</w:t>
            </w:r>
            <w:r w:rsidRPr="0084024C">
              <w:rPr>
                <w:rFonts w:eastAsia="Times New Roman"/>
                <w:color w:val="0070C0"/>
                <w:lang w:eastAsia="en-US"/>
              </w:rPr>
              <w:t>@inbox.lv</w:t>
            </w:r>
          </w:p>
        </w:tc>
      </w:tr>
    </w:tbl>
    <w:p w:rsidR="00763752" w:rsidRPr="00CF1BEC" w:rsidRDefault="00763752" w:rsidP="00763752">
      <w:pPr>
        <w:suppressAutoHyphens/>
        <w:spacing w:after="120"/>
        <w:jc w:val="both"/>
        <w:rPr>
          <w:rFonts w:eastAsia="Times New Roman"/>
          <w:bCs/>
          <w:lang w:eastAsia="en-US"/>
        </w:rPr>
      </w:pPr>
    </w:p>
    <w:p w:rsidR="004452FA" w:rsidRPr="004452FA" w:rsidRDefault="002478EE" w:rsidP="00114D7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227D14" w:rsidRPr="00227D14">
        <w:rPr>
          <w:rFonts w:eastAsia="Times New Roman"/>
          <w:bCs/>
          <w:lang w:eastAsia="en-US"/>
        </w:rPr>
        <w:t>Volejbola</w:t>
      </w:r>
      <w:r w:rsidR="00227D14">
        <w:rPr>
          <w:rFonts w:eastAsia="Times New Roman"/>
          <w:b/>
          <w:bCs/>
          <w:lang w:eastAsia="en-US"/>
        </w:rPr>
        <w:t xml:space="preserve"> s</w:t>
      </w:r>
      <w:r w:rsidR="00227D14">
        <w:rPr>
          <w:rFonts w:eastAsia="Times New Roman"/>
          <w:bCs/>
          <w:lang w:eastAsia="en-US"/>
        </w:rPr>
        <w:t>porta pasākumā “Jautrās stafetes”</w:t>
      </w:r>
      <w:r w:rsidR="00DC05FB" w:rsidRPr="00DC05FB">
        <w:rPr>
          <w:rFonts w:eastAsia="Times New Roman"/>
          <w:bCs/>
          <w:lang w:eastAsia="en-US"/>
        </w:rPr>
        <w:t xml:space="preserve"> organizēšana un tiesāšana</w:t>
      </w:r>
      <w:r w:rsidR="004452FA" w:rsidRPr="00CB458C">
        <w:rPr>
          <w:rFonts w:eastAsia="Times New Roman"/>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227D14">
        <w:rPr>
          <w:rFonts w:eastAsia="Times New Roman"/>
          <w:bCs/>
          <w:lang w:eastAsia="en-US"/>
        </w:rPr>
        <w:t>80,00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227D14">
        <w:rPr>
          <w:rFonts w:eastAsia="Times New Roman"/>
          <w:bCs/>
          <w:lang w:eastAsia="en-US"/>
        </w:rPr>
        <w:t>03.</w:t>
      </w:r>
      <w:r w:rsidR="00DC05FB">
        <w:rPr>
          <w:rFonts w:eastAsia="Times New Roman"/>
          <w:bCs/>
          <w:lang w:eastAsia="en-US"/>
        </w:rPr>
        <w:t>05.</w:t>
      </w:r>
      <w:r w:rsidR="00E25E4C">
        <w:rPr>
          <w:rFonts w:eastAsia="Times New Roman"/>
          <w:bCs/>
          <w:lang w:eastAsia="en-US"/>
        </w:rPr>
        <w:t xml:space="preserve"> </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227D14">
        <w:rPr>
          <w:rFonts w:eastAsia="Times New Roman"/>
          <w:b/>
          <w:bCs/>
          <w:lang w:eastAsia="en-US"/>
        </w:rPr>
        <w:t>02.maijam</w:t>
      </w:r>
      <w:r w:rsidR="00D70E3C">
        <w:rPr>
          <w:rFonts w:eastAsia="Times New Roman"/>
          <w:b/>
          <w:bCs/>
          <w:lang w:eastAsia="en-US"/>
        </w:rPr>
        <w:t xml:space="preserve"> plkst.1</w:t>
      </w:r>
      <w:r w:rsidR="00CB458C">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EC26DF">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8"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227D14" w:rsidRDefault="00227D14"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27D14" w:rsidRPr="00227D14">
        <w:t>Volejbola</w:t>
      </w:r>
      <w:r w:rsidR="00227D14">
        <w:rPr>
          <w:b/>
        </w:rPr>
        <w:t xml:space="preserve"> </w:t>
      </w:r>
      <w:r w:rsidR="00227D14">
        <w:t>sporta pasākuma “Jautrās stafetes”</w:t>
      </w:r>
      <w:r w:rsidR="00290610">
        <w:t xml:space="preserve"> organizēšana un tiesāšana</w:t>
      </w:r>
      <w:r>
        <w:t>;</w:t>
      </w:r>
    </w:p>
    <w:p w:rsidR="00D94404" w:rsidRDefault="00D94404" w:rsidP="00D94404">
      <w:pPr>
        <w:jc w:val="both"/>
      </w:pPr>
      <w:r w:rsidRPr="00D94404">
        <w:rPr>
          <w:b/>
        </w:rPr>
        <w:t xml:space="preserve">Pasūtījuma izpildināšana: </w:t>
      </w:r>
      <w:r w:rsidR="00DC05FB">
        <w:rPr>
          <w:rFonts w:eastAsia="Times New Roman"/>
          <w:bCs/>
          <w:lang w:eastAsia="en-US"/>
        </w:rPr>
        <w:t xml:space="preserve">2018.gada </w:t>
      </w:r>
      <w:r w:rsidR="00227D14">
        <w:rPr>
          <w:rFonts w:eastAsia="Times New Roman"/>
          <w:bCs/>
          <w:lang w:eastAsia="en-US"/>
        </w:rPr>
        <w:t>03</w:t>
      </w:r>
      <w:r w:rsidR="00DC05FB">
        <w:rPr>
          <w:rFonts w:eastAsia="Times New Roman"/>
          <w:bCs/>
          <w:lang w:eastAsia="en-US"/>
        </w:rPr>
        <w:t>.05.</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t>Daugavpils</w:t>
      </w:r>
    </w:p>
    <w:p w:rsidR="00D94404" w:rsidRDefault="00D94404" w:rsidP="00D94404">
      <w:pPr>
        <w:pStyle w:val="ListParagraph"/>
        <w:jc w:val="both"/>
      </w:pPr>
    </w:p>
    <w:tbl>
      <w:tblPr>
        <w:tblStyle w:val="TableGrid"/>
        <w:tblW w:w="10314" w:type="dxa"/>
        <w:tblLayout w:type="fixed"/>
        <w:tblLook w:val="04A0" w:firstRow="1" w:lastRow="0" w:firstColumn="1" w:lastColumn="0" w:noHBand="0" w:noVBand="1"/>
      </w:tblPr>
      <w:tblGrid>
        <w:gridCol w:w="817"/>
        <w:gridCol w:w="2410"/>
        <w:gridCol w:w="5670"/>
        <w:gridCol w:w="1417"/>
      </w:tblGrid>
      <w:tr w:rsidR="00021100" w:rsidTr="00DC05FB">
        <w:tc>
          <w:tcPr>
            <w:tcW w:w="817" w:type="dxa"/>
          </w:tcPr>
          <w:p w:rsidR="00021100" w:rsidRPr="00CE7F4E" w:rsidRDefault="00EC26DF" w:rsidP="008A2F86">
            <w:pPr>
              <w:jc w:val="both"/>
              <w:rPr>
                <w:b/>
              </w:rPr>
            </w:pPr>
            <w:r w:rsidRPr="00E25E4C">
              <w:rPr>
                <w:b/>
                <w:sz w:val="22"/>
                <w:szCs w:val="22"/>
              </w:rPr>
              <w:t>N</w:t>
            </w:r>
            <w:r w:rsidR="00021100" w:rsidRPr="00E25E4C">
              <w:rPr>
                <w:b/>
                <w:sz w:val="22"/>
                <w:szCs w:val="22"/>
              </w:rPr>
              <w:t>.p.k</w:t>
            </w:r>
            <w:r w:rsidR="00021100">
              <w:rPr>
                <w:b/>
              </w:rPr>
              <w:t>.</w:t>
            </w:r>
          </w:p>
        </w:tc>
        <w:tc>
          <w:tcPr>
            <w:tcW w:w="2410"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417" w:type="dxa"/>
          </w:tcPr>
          <w:p w:rsidR="00021100" w:rsidRPr="00CE7F4E" w:rsidRDefault="006D3533" w:rsidP="008A2F86">
            <w:pPr>
              <w:jc w:val="center"/>
              <w:rPr>
                <w:b/>
              </w:rPr>
            </w:pPr>
            <w:r>
              <w:rPr>
                <w:b/>
              </w:rPr>
              <w:t>Mērvenība</w:t>
            </w:r>
          </w:p>
        </w:tc>
      </w:tr>
      <w:tr w:rsidR="00021100" w:rsidTr="00DC05FB">
        <w:tc>
          <w:tcPr>
            <w:tcW w:w="817" w:type="dxa"/>
          </w:tcPr>
          <w:p w:rsidR="00021100" w:rsidRPr="00CE7F4E" w:rsidRDefault="00021100" w:rsidP="008A2F86">
            <w:pPr>
              <w:rPr>
                <w:b/>
              </w:rPr>
            </w:pPr>
            <w:r w:rsidRPr="00CE7F4E">
              <w:rPr>
                <w:b/>
              </w:rPr>
              <w:t>1.</w:t>
            </w:r>
          </w:p>
        </w:tc>
        <w:tc>
          <w:tcPr>
            <w:tcW w:w="2410" w:type="dxa"/>
          </w:tcPr>
          <w:p w:rsidR="00021100" w:rsidRPr="00CE7F4E" w:rsidRDefault="00227D14" w:rsidP="00DC05FB">
            <w:pPr>
              <w:jc w:val="both"/>
              <w:rPr>
                <w:b/>
              </w:rPr>
            </w:pPr>
            <w:r>
              <w:rPr>
                <w:b/>
              </w:rPr>
              <w:t>Volejbola Sporta sacensību “Jautrās stafetes”</w:t>
            </w:r>
            <w:r w:rsidR="00DC05FB">
              <w:rPr>
                <w:b/>
              </w:rPr>
              <w:t xml:space="preserve"> </w:t>
            </w:r>
            <w:r w:rsidR="006A5D55">
              <w:rPr>
                <w:b/>
              </w:rPr>
              <w:t>organizēšana un tiesāšana</w:t>
            </w:r>
            <w:r w:rsidR="00BB3859">
              <w:rPr>
                <w:b/>
              </w:rPr>
              <w:t xml:space="preserve"> </w:t>
            </w:r>
          </w:p>
        </w:tc>
        <w:tc>
          <w:tcPr>
            <w:tcW w:w="5670" w:type="dxa"/>
          </w:tcPr>
          <w:p w:rsidR="00021100" w:rsidRDefault="00F20EF7" w:rsidP="008A2F86">
            <w:pPr>
              <w:jc w:val="both"/>
            </w:pPr>
            <w:r>
              <w:t>Pretendentam jānodrošina sacensību organizācija un tiesāšana, kas iekļauj sevī:</w:t>
            </w:r>
          </w:p>
        </w:tc>
        <w:tc>
          <w:tcPr>
            <w:tcW w:w="1417" w:type="dxa"/>
          </w:tcPr>
          <w:p w:rsidR="00021100" w:rsidRDefault="007A61D3" w:rsidP="003E0D0B">
            <w:pPr>
              <w:jc w:val="center"/>
            </w:pPr>
            <w:r>
              <w:t>1</w:t>
            </w:r>
          </w:p>
        </w:tc>
      </w:tr>
      <w:tr w:rsidR="00BB3859" w:rsidTr="00DC05FB">
        <w:tc>
          <w:tcPr>
            <w:tcW w:w="817" w:type="dxa"/>
          </w:tcPr>
          <w:p w:rsidR="00BB3859" w:rsidRPr="00CE7F4E" w:rsidRDefault="00BB3859" w:rsidP="008A2F86">
            <w:pPr>
              <w:rPr>
                <w:b/>
              </w:rPr>
            </w:pPr>
          </w:p>
        </w:tc>
        <w:tc>
          <w:tcPr>
            <w:tcW w:w="2410" w:type="dxa"/>
          </w:tcPr>
          <w:p w:rsidR="00BB3859" w:rsidRPr="00E25E4C" w:rsidRDefault="00E25E4C" w:rsidP="00227D14">
            <w:pPr>
              <w:jc w:val="both"/>
            </w:pPr>
            <w:r>
              <w:t xml:space="preserve">2018.gada </w:t>
            </w:r>
            <w:r w:rsidR="00227D14">
              <w:t>03.maijā</w:t>
            </w:r>
          </w:p>
        </w:tc>
        <w:tc>
          <w:tcPr>
            <w:tcW w:w="5670" w:type="dxa"/>
          </w:tcPr>
          <w:p w:rsidR="00BB3859" w:rsidRDefault="00BB3859" w:rsidP="00C57972">
            <w:pPr>
              <w:pStyle w:val="ListParagraph"/>
              <w:numPr>
                <w:ilvl w:val="0"/>
                <w:numId w:val="8"/>
              </w:numPr>
              <w:jc w:val="both"/>
            </w:pPr>
            <w:r>
              <w:t xml:space="preserve">Sacensību vietas sagatavošanu (tīkla uzstādīšanu, tiesneša paaugstinājumu un galda uzstādīšanu, rezerves spēlētāju un treneru vietas sagatavošanu, rezultātu tabulas, spēles kalendāra sagatavošanu. Vienu spēli tiesā divi spēles tiesneši, viens sekretārs. Visiem tiesnešiem–galvenajam tiesnesim, galvenajam sekretāram, spēļu tiesnešiem un sekretāram jābūt nozīmētiem saskaņā ar  LVF apstiprināto sarakstu. </w:t>
            </w:r>
          </w:p>
          <w:p w:rsidR="00CB458C" w:rsidRDefault="00BB3859" w:rsidP="00CB458C">
            <w:pPr>
              <w:pStyle w:val="ListParagraph"/>
              <w:numPr>
                <w:ilvl w:val="0"/>
                <w:numId w:val="8"/>
              </w:numPr>
              <w:jc w:val="both"/>
            </w:pPr>
            <w:r>
              <w:t>Spēles laukums jābūt sagatavots spēlei 45 min. pirms spēles sākuma un tiek novākts uzreiz pēc pēdējās spēles.</w:t>
            </w:r>
          </w:p>
          <w:p w:rsidR="00CB458C" w:rsidRDefault="00CB458C" w:rsidP="00CB458C">
            <w:pPr>
              <w:pStyle w:val="ListParagraph"/>
              <w:jc w:val="both"/>
            </w:pPr>
          </w:p>
        </w:tc>
        <w:tc>
          <w:tcPr>
            <w:tcW w:w="1417" w:type="dxa"/>
          </w:tcPr>
          <w:p w:rsidR="00BB3859" w:rsidRDefault="00BB3859" w:rsidP="003E0D0B">
            <w:pPr>
              <w:jc w:val="center"/>
            </w:pPr>
          </w:p>
        </w:tc>
      </w:tr>
    </w:tbl>
    <w:p w:rsidR="00D94404" w:rsidRDefault="00D94404" w:rsidP="00D94404">
      <w:pPr>
        <w:jc w:val="both"/>
      </w:pPr>
    </w:p>
    <w:p w:rsidR="00A23C2A" w:rsidRDefault="009C0406" w:rsidP="00D94404">
      <w:r>
        <w:t>Tehnisko specifikāciju sagatavoja</w:t>
      </w:r>
    </w:p>
    <w:p w:rsidR="00CB458C" w:rsidRDefault="009C0406" w:rsidP="00D94404">
      <w:r>
        <w:t>Daugavpils B</w:t>
      </w:r>
      <w:r w:rsidR="006A5D55">
        <w:t xml:space="preserve">ērnu un jaunatnes sporta skolas </w:t>
      </w:r>
      <w:r w:rsidR="00227D14">
        <w:t xml:space="preserve">lietvede </w:t>
      </w:r>
      <w:r w:rsidR="00227D14">
        <w:tab/>
      </w:r>
      <w:r w:rsidR="00227D14">
        <w:tab/>
      </w:r>
      <w:r w:rsidR="00227D14">
        <w:tab/>
      </w:r>
      <w:r w:rsidR="00227D14">
        <w:tab/>
        <w:t>I.Krišjāne</w:t>
      </w:r>
    </w:p>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227D14" w:rsidRDefault="00227D14" w:rsidP="00D94404"/>
    <w:p w:rsidR="00CB458C" w:rsidRDefault="00CB458C" w:rsidP="00D94404"/>
    <w:p w:rsidR="00763752" w:rsidRPr="00CF1BEC" w:rsidRDefault="00CB458C"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227D14">
        <w:rPr>
          <w:rFonts w:eastAsia="Times New Roman"/>
          <w:lang w:eastAsia="ar-SA"/>
        </w:rPr>
        <w:t>Volejbola s</w:t>
      </w:r>
      <w:bookmarkStart w:id="2" w:name="_GoBack"/>
      <w:bookmarkEnd w:id="2"/>
      <w:r w:rsidR="00227D14">
        <w:rPr>
          <w:rFonts w:eastAsia="Times New Roman"/>
          <w:bCs/>
          <w:lang w:eastAsia="en-US"/>
        </w:rPr>
        <w:t>porta pasākumu “Jautrās stafetes”</w:t>
      </w:r>
      <w:r w:rsidR="00DC05FB" w:rsidRPr="00DC05FB">
        <w:rPr>
          <w:rFonts w:eastAsia="Times New Roman"/>
          <w:bCs/>
          <w:lang w:eastAsia="en-US"/>
        </w:rPr>
        <w:t xml:space="preserve"> </w:t>
      </w:r>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 xml:space="preserve">par šādu </w:t>
      </w:r>
      <w:r w:rsidR="00E25E4C">
        <w:rPr>
          <w:rFonts w:eastAsia="Times New Roman"/>
          <w:lang w:eastAsia="ar-SA"/>
        </w:rPr>
        <w:t>c</w:t>
      </w:r>
      <w:r w:rsidR="00F20EF7">
        <w:rPr>
          <w:rFonts w:eastAsia="Times New Roman"/>
          <w:lang w:eastAsia="ar-SA"/>
        </w:rPr>
        <w:t>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10"/>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r>
              <w:rPr>
                <w:rFonts w:eastAsia="Times New Roman"/>
                <w:lang w:eastAsia="ar-SA"/>
              </w:rPr>
              <w:t>Reģ.Nr.</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552"/>
        <w:gridCol w:w="4394"/>
        <w:gridCol w:w="1418"/>
        <w:gridCol w:w="1134"/>
      </w:tblGrid>
      <w:tr w:rsidR="005B6ECC" w:rsidRPr="00B35CEE" w:rsidTr="00E25E4C">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r>
              <w:rPr>
                <w:rFonts w:eastAsia="Times New Roman"/>
                <w:b/>
                <w:bCs/>
                <w:color w:val="000000"/>
                <w:spacing w:val="-3"/>
                <w:lang w:eastAsia="ar-SA"/>
              </w:rPr>
              <w:t>N.p.k.</w:t>
            </w:r>
          </w:p>
        </w:tc>
        <w:tc>
          <w:tcPr>
            <w:tcW w:w="2552"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394"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227D14" w:rsidRPr="007C3227" w:rsidTr="00E25E4C">
        <w:tc>
          <w:tcPr>
            <w:tcW w:w="675" w:type="dxa"/>
          </w:tcPr>
          <w:p w:rsidR="00227D14" w:rsidRPr="00CE7F4E" w:rsidRDefault="00227D14" w:rsidP="00227D14">
            <w:pPr>
              <w:rPr>
                <w:b/>
              </w:rPr>
            </w:pPr>
            <w:r w:rsidRPr="00CE7F4E">
              <w:rPr>
                <w:b/>
              </w:rPr>
              <w:t>1.</w:t>
            </w:r>
          </w:p>
        </w:tc>
        <w:tc>
          <w:tcPr>
            <w:tcW w:w="2552" w:type="dxa"/>
          </w:tcPr>
          <w:p w:rsidR="00227D14" w:rsidRPr="00CE7F4E" w:rsidRDefault="00227D14" w:rsidP="00227D14">
            <w:pPr>
              <w:jc w:val="both"/>
              <w:rPr>
                <w:b/>
              </w:rPr>
            </w:pPr>
            <w:r>
              <w:rPr>
                <w:b/>
              </w:rPr>
              <w:t xml:space="preserve">Volejbola Sporta sacensību “Jautrās stafetes” organizēšana un tiesāšana </w:t>
            </w:r>
          </w:p>
        </w:tc>
        <w:tc>
          <w:tcPr>
            <w:tcW w:w="4394" w:type="dxa"/>
          </w:tcPr>
          <w:p w:rsidR="00227D14" w:rsidRDefault="00227D14" w:rsidP="00227D14">
            <w:pPr>
              <w:jc w:val="both"/>
            </w:pPr>
            <w:r>
              <w:t>Pretendentam jānodrošina sacensību organizācija un tiesāšana, kas iekļauj sevī:</w:t>
            </w:r>
          </w:p>
        </w:tc>
        <w:tc>
          <w:tcPr>
            <w:tcW w:w="1418" w:type="dxa"/>
          </w:tcPr>
          <w:p w:rsidR="00227D14" w:rsidRDefault="00227D14" w:rsidP="00227D14">
            <w:pPr>
              <w:jc w:val="center"/>
            </w:pPr>
            <w:r>
              <w:t>1</w:t>
            </w:r>
          </w:p>
        </w:tc>
        <w:tc>
          <w:tcPr>
            <w:tcW w:w="1134" w:type="dxa"/>
          </w:tcPr>
          <w:p w:rsidR="00227D14" w:rsidRPr="007C3227" w:rsidRDefault="00227D14" w:rsidP="00227D14">
            <w:pPr>
              <w:keepNext/>
              <w:suppressAutoHyphens/>
              <w:overflowPunct w:val="0"/>
              <w:autoSpaceDE w:val="0"/>
              <w:jc w:val="center"/>
              <w:textAlignment w:val="baseline"/>
              <w:outlineLvl w:val="0"/>
              <w:rPr>
                <w:rFonts w:ascii="Times New Roman CYR" w:hAnsi="Times New Roman CYR" w:cs="Times New Roman CYR"/>
              </w:rPr>
            </w:pPr>
          </w:p>
        </w:tc>
      </w:tr>
      <w:tr w:rsidR="00227D14" w:rsidRPr="007C3227" w:rsidTr="00E25E4C">
        <w:tc>
          <w:tcPr>
            <w:tcW w:w="675" w:type="dxa"/>
          </w:tcPr>
          <w:p w:rsidR="00227D14" w:rsidRPr="00CE7F4E" w:rsidRDefault="00227D14" w:rsidP="00227D14">
            <w:pPr>
              <w:rPr>
                <w:b/>
              </w:rPr>
            </w:pPr>
          </w:p>
        </w:tc>
        <w:tc>
          <w:tcPr>
            <w:tcW w:w="2552" w:type="dxa"/>
          </w:tcPr>
          <w:p w:rsidR="00227D14" w:rsidRPr="00E25E4C" w:rsidRDefault="00227D14" w:rsidP="00227D14">
            <w:pPr>
              <w:jc w:val="both"/>
            </w:pPr>
            <w:r>
              <w:t>2018.gada 03.maijā</w:t>
            </w:r>
          </w:p>
        </w:tc>
        <w:tc>
          <w:tcPr>
            <w:tcW w:w="4394" w:type="dxa"/>
          </w:tcPr>
          <w:p w:rsidR="00227D14" w:rsidRDefault="00227D14" w:rsidP="00227D14">
            <w:pPr>
              <w:pStyle w:val="ListParagraph"/>
              <w:numPr>
                <w:ilvl w:val="0"/>
                <w:numId w:val="8"/>
              </w:numPr>
              <w:jc w:val="both"/>
            </w:pPr>
            <w:r>
              <w:t xml:space="preserve">Sacensību vietas sagatavošanu (tīkla uzstādīšanu, tiesneša paaugstinājumu un galda uzstādīšanu, rezerves spēlētāju un treneru vietas sagatavošanu, rezultātu tabulas, spēles kalendāra sagatavošanu. Vienu spēli tiesā divi spēles tiesneši, viens sekretārs. Visiem tiesnešiem–galvenajam tiesnesim, galvenajam sekretāram, spēļu tiesnešiem un sekretāram jābūt nozīmētiem saskaņā ar  LVF apstiprināto sarakstu. </w:t>
            </w:r>
          </w:p>
          <w:p w:rsidR="00227D14" w:rsidRDefault="00227D14" w:rsidP="00227D14">
            <w:pPr>
              <w:pStyle w:val="ListParagraph"/>
              <w:numPr>
                <w:ilvl w:val="0"/>
                <w:numId w:val="8"/>
              </w:numPr>
              <w:jc w:val="both"/>
            </w:pPr>
            <w:r>
              <w:t>Spēles laukums jābūt sagatavots spēlei 45 min. pirms spēles sākuma un tiek novākts uzreiz pēc pēdējās spēles.</w:t>
            </w:r>
          </w:p>
          <w:p w:rsidR="00227D14" w:rsidRDefault="00227D14" w:rsidP="00227D14">
            <w:pPr>
              <w:pStyle w:val="ListParagraph"/>
              <w:jc w:val="both"/>
            </w:pPr>
          </w:p>
        </w:tc>
        <w:tc>
          <w:tcPr>
            <w:tcW w:w="1418" w:type="dxa"/>
          </w:tcPr>
          <w:p w:rsidR="00227D14" w:rsidRDefault="00227D14" w:rsidP="00227D14">
            <w:pPr>
              <w:jc w:val="center"/>
            </w:pPr>
          </w:p>
        </w:tc>
        <w:tc>
          <w:tcPr>
            <w:tcW w:w="1134" w:type="dxa"/>
          </w:tcPr>
          <w:p w:rsidR="00227D14" w:rsidRPr="007C3227" w:rsidRDefault="00227D14" w:rsidP="00227D14">
            <w:pPr>
              <w:keepNext/>
              <w:suppressAutoHyphens/>
              <w:overflowPunct w:val="0"/>
              <w:autoSpaceDE w:val="0"/>
              <w:jc w:val="center"/>
              <w:textAlignment w:val="baseline"/>
              <w:outlineLvl w:val="0"/>
              <w:rPr>
                <w:rFonts w:ascii="Times New Roman CYR" w:hAnsi="Times New Roman CYR" w:cs="Times New Roman CYR"/>
              </w:rPr>
            </w:pPr>
          </w:p>
        </w:tc>
      </w:tr>
      <w:tr w:rsidR="00E25E4C" w:rsidRPr="00B35CEE" w:rsidTr="00E25E4C">
        <w:tc>
          <w:tcPr>
            <w:tcW w:w="675" w:type="dxa"/>
            <w:vAlign w:val="center"/>
          </w:tcPr>
          <w:p w:rsidR="00E25E4C" w:rsidRPr="00B35CEE" w:rsidRDefault="00E25E4C" w:rsidP="00A856EF">
            <w:pPr>
              <w:shd w:val="clear" w:color="auto" w:fill="FFFFFF"/>
              <w:suppressAutoHyphens/>
              <w:jc w:val="center"/>
              <w:rPr>
                <w:rFonts w:eastAsia="Times New Roman"/>
                <w:b/>
                <w:bCs/>
                <w:color w:val="000000"/>
                <w:spacing w:val="-3"/>
                <w:lang w:eastAsia="ar-SA"/>
              </w:rPr>
            </w:pPr>
          </w:p>
        </w:tc>
        <w:tc>
          <w:tcPr>
            <w:tcW w:w="2552" w:type="dxa"/>
            <w:vAlign w:val="center"/>
          </w:tcPr>
          <w:p w:rsidR="00E25E4C" w:rsidRPr="00B35CEE" w:rsidRDefault="00E25E4C" w:rsidP="00A856EF">
            <w:pPr>
              <w:pStyle w:val="NormalWeb"/>
              <w:rPr>
                <w:b/>
              </w:rPr>
            </w:pPr>
          </w:p>
        </w:tc>
        <w:tc>
          <w:tcPr>
            <w:tcW w:w="4394" w:type="dxa"/>
            <w:vAlign w:val="center"/>
          </w:tcPr>
          <w:p w:rsidR="00E25E4C" w:rsidRDefault="00E25E4C" w:rsidP="00E25E4C">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Kopā:</w:t>
            </w:r>
          </w:p>
          <w:p w:rsidR="00E25E4C" w:rsidRDefault="00E25E4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E25E4C" w:rsidRPr="00B35CEE" w:rsidRDefault="00E25E4C" w:rsidP="00A856EF">
            <w:pPr>
              <w:keepNext/>
              <w:suppressAutoHyphens/>
              <w:overflowPunct w:val="0"/>
              <w:autoSpaceDE w:val="0"/>
              <w:jc w:val="center"/>
              <w:textAlignment w:val="baseline"/>
              <w:outlineLvl w:val="0"/>
              <w:rPr>
                <w:b/>
              </w:rPr>
            </w:pPr>
          </w:p>
        </w:tc>
        <w:tc>
          <w:tcPr>
            <w:tcW w:w="1134" w:type="dxa"/>
          </w:tcPr>
          <w:p w:rsidR="00E25E4C" w:rsidRPr="00B35CEE" w:rsidRDefault="00E25E4C" w:rsidP="00A856EF">
            <w:pPr>
              <w:keepNext/>
              <w:suppressAutoHyphens/>
              <w:overflowPunct w:val="0"/>
              <w:autoSpaceDE w:val="0"/>
              <w:jc w:val="center"/>
              <w:textAlignment w:val="baseline"/>
              <w:outlineLvl w:val="0"/>
              <w:rPr>
                <w:b/>
              </w:rPr>
            </w:pPr>
          </w:p>
        </w:tc>
      </w:tr>
    </w:tbl>
    <w:p w:rsidR="00DC05FB" w:rsidRDefault="00DC05FB" w:rsidP="00BB6F93"/>
    <w:p w:rsidR="00BB6F93" w:rsidRDefault="00BB6F93" w:rsidP="00BB6F93">
      <w:r>
        <w:t>3. Mēs apliecinām, kā:</w:t>
      </w:r>
    </w:p>
    <w:p w:rsidR="00F82FEB" w:rsidRDefault="00F82FEB" w:rsidP="00F82FEB">
      <w:pPr>
        <w:pStyle w:val="ListParagraph"/>
        <w:numPr>
          <w:ilvl w:val="0"/>
          <w:numId w:val="7"/>
        </w:numPr>
      </w:pPr>
      <w:r>
        <w:lastRenderedPageBreak/>
        <w:t xml:space="preserve">Līguma izpildes termiņš līdz </w:t>
      </w:r>
      <w:r w:rsidR="00AE12C4" w:rsidRPr="00AE12C4">
        <w:rPr>
          <w:rFonts w:eastAsia="Times New Roman"/>
          <w:b/>
          <w:bCs/>
          <w:lang w:eastAsia="en-US"/>
        </w:rPr>
        <w:t xml:space="preserve">2018.gada </w:t>
      </w:r>
      <w:r w:rsidR="00227D14">
        <w:rPr>
          <w:rFonts w:eastAsia="Times New Roman"/>
          <w:b/>
          <w:bCs/>
          <w:lang w:eastAsia="en-US"/>
        </w:rPr>
        <w:t>03</w:t>
      </w:r>
      <w:r w:rsidR="00AE12C4" w:rsidRPr="00AE12C4">
        <w:rPr>
          <w:rFonts w:eastAsia="Times New Roman"/>
          <w:b/>
          <w:bCs/>
          <w:lang w:eastAsia="en-US"/>
        </w:rPr>
        <w:t>.05</w:t>
      </w:r>
      <w:r w:rsidR="00AE12C4">
        <w:rPr>
          <w:rFonts w:eastAsia="Times New Roman"/>
          <w:b/>
          <w:bCs/>
          <w:lang w:eastAsia="en-US"/>
        </w:rPr>
        <w:t>.</w:t>
      </w:r>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D13" w:rsidRDefault="00D25D13" w:rsidP="00B46840">
      <w:r>
        <w:separator/>
      </w:r>
    </w:p>
  </w:endnote>
  <w:endnote w:type="continuationSeparator" w:id="0">
    <w:p w:rsidR="00D25D13" w:rsidRDefault="00D25D1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D13" w:rsidRDefault="00D25D13" w:rsidP="00B46840">
      <w:r>
        <w:separator/>
      </w:r>
    </w:p>
  </w:footnote>
  <w:footnote w:type="continuationSeparator" w:id="0">
    <w:p w:rsidR="00D25D13" w:rsidRDefault="00D25D1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27D14"/>
    <w:rsid w:val="00233F93"/>
    <w:rsid w:val="002455FF"/>
    <w:rsid w:val="002478EE"/>
    <w:rsid w:val="00264007"/>
    <w:rsid w:val="00290610"/>
    <w:rsid w:val="002B2824"/>
    <w:rsid w:val="002B3BA9"/>
    <w:rsid w:val="002B594E"/>
    <w:rsid w:val="002C11B5"/>
    <w:rsid w:val="0034254A"/>
    <w:rsid w:val="00371D53"/>
    <w:rsid w:val="00371F4F"/>
    <w:rsid w:val="003B48A9"/>
    <w:rsid w:val="003E0D0B"/>
    <w:rsid w:val="003E1B46"/>
    <w:rsid w:val="004452FA"/>
    <w:rsid w:val="004C2D2D"/>
    <w:rsid w:val="004D0B2C"/>
    <w:rsid w:val="004E179D"/>
    <w:rsid w:val="004F7A33"/>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E5FC0"/>
    <w:rsid w:val="007F6B8F"/>
    <w:rsid w:val="008208DF"/>
    <w:rsid w:val="00833B3D"/>
    <w:rsid w:val="0084024C"/>
    <w:rsid w:val="00856B7F"/>
    <w:rsid w:val="008671B6"/>
    <w:rsid w:val="00874943"/>
    <w:rsid w:val="008B7743"/>
    <w:rsid w:val="008C6DC8"/>
    <w:rsid w:val="008E4FCD"/>
    <w:rsid w:val="008E7C41"/>
    <w:rsid w:val="0092163D"/>
    <w:rsid w:val="00925AF1"/>
    <w:rsid w:val="00945D34"/>
    <w:rsid w:val="00961330"/>
    <w:rsid w:val="0096159E"/>
    <w:rsid w:val="009C0406"/>
    <w:rsid w:val="009E7E33"/>
    <w:rsid w:val="009F3ED2"/>
    <w:rsid w:val="00A02666"/>
    <w:rsid w:val="00A23C2A"/>
    <w:rsid w:val="00AB5238"/>
    <w:rsid w:val="00AC26BE"/>
    <w:rsid w:val="00AD051E"/>
    <w:rsid w:val="00AD2F6C"/>
    <w:rsid w:val="00AE12C4"/>
    <w:rsid w:val="00B01C6C"/>
    <w:rsid w:val="00B3022C"/>
    <w:rsid w:val="00B35CEE"/>
    <w:rsid w:val="00B45CCB"/>
    <w:rsid w:val="00B46840"/>
    <w:rsid w:val="00B5550B"/>
    <w:rsid w:val="00B86D8D"/>
    <w:rsid w:val="00BB3859"/>
    <w:rsid w:val="00BB6F93"/>
    <w:rsid w:val="00BC60D9"/>
    <w:rsid w:val="00BD2B8B"/>
    <w:rsid w:val="00C2477C"/>
    <w:rsid w:val="00C33745"/>
    <w:rsid w:val="00C62424"/>
    <w:rsid w:val="00C952E6"/>
    <w:rsid w:val="00CB458C"/>
    <w:rsid w:val="00CC1525"/>
    <w:rsid w:val="00CD64D2"/>
    <w:rsid w:val="00CE2CF3"/>
    <w:rsid w:val="00CF1BEC"/>
    <w:rsid w:val="00D23CDB"/>
    <w:rsid w:val="00D25D13"/>
    <w:rsid w:val="00D6550A"/>
    <w:rsid w:val="00D662FF"/>
    <w:rsid w:val="00D70E3C"/>
    <w:rsid w:val="00D75CA7"/>
    <w:rsid w:val="00D94404"/>
    <w:rsid w:val="00DA30D1"/>
    <w:rsid w:val="00DA67B9"/>
    <w:rsid w:val="00DC05FB"/>
    <w:rsid w:val="00DD2C92"/>
    <w:rsid w:val="00DE4C8E"/>
    <w:rsid w:val="00E020F2"/>
    <w:rsid w:val="00E25E4C"/>
    <w:rsid w:val="00E302C5"/>
    <w:rsid w:val="00E63079"/>
    <w:rsid w:val="00E63C50"/>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4710C-6A90-4010-86C3-8F963E42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20E8F-9BE5-475A-92A0-460E3D2D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3</cp:revision>
  <cp:lastPrinted>2016-03-14T14:13:00Z</cp:lastPrinted>
  <dcterms:created xsi:type="dcterms:W3CDTF">2018-04-27T08:20:00Z</dcterms:created>
  <dcterms:modified xsi:type="dcterms:W3CDTF">2018-04-27T08:30:00Z</dcterms:modified>
</cp:coreProperties>
</file>